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36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8A5E12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057D65">
        <w:rPr>
          <w:rFonts w:ascii="Verdana" w:hAnsi="Verdana"/>
          <w:b/>
          <w:sz w:val="20"/>
          <w:szCs w:val="20"/>
        </w:rPr>
        <w:t xml:space="preserve">Veszélyeztetett helyzetű </w:t>
      </w:r>
      <w:r w:rsidR="00D165D2" w:rsidRPr="00D165D2">
        <w:rPr>
          <w:rFonts w:ascii="Verdana" w:hAnsi="Verdana"/>
          <w:b/>
          <w:sz w:val="20"/>
          <w:szCs w:val="20"/>
        </w:rPr>
        <w:t xml:space="preserve">épített műemlékek </w:t>
      </w:r>
      <w:r w:rsidRPr="00057D65">
        <w:rPr>
          <w:rFonts w:ascii="Verdana" w:hAnsi="Verdana"/>
          <w:b/>
          <w:sz w:val="20"/>
          <w:szCs w:val="20"/>
        </w:rPr>
        <w:t>veszélyelhárításának, állagmegóvásának, részleges helyreállításának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951D6C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A VESZÉLYELHÁRÍTÁS MÓDJÁNAK MŰSZAKI ISMERTETÉSE – KÜLÖNÖS TEKINTETTEL </w:t>
      </w:r>
      <w:proofErr w:type="gramStart"/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>A</w:t>
      </w:r>
      <w:proofErr w:type="gramEnd"/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 MUNKÁK ELŐTT NEM VESZÉLYEZTETETT RÉSZEK BIZTOSÍTÁSÁRA</w:t>
      </w:r>
      <w:r w:rsidRPr="00951D6C">
        <w:rPr>
          <w:rFonts w:ascii="Verdana" w:eastAsia="Times New Roman" w:hAnsi="Verdana" w:cs="Verdana"/>
          <w:b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agrár emlék</w:t>
      </w:r>
      <w:proofErr w:type="gramEnd"/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restaurálás</w:t>
      </w:r>
      <w:proofErr w:type="gramEnd"/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</w:t>
      </w:r>
      <w:proofErr w:type="gramStart"/>
      <w:r w:rsidRPr="00057D65">
        <w:rPr>
          <w:rFonts w:ascii="Verdana" w:hAnsi="Verdana"/>
          <w:sz w:val="18"/>
          <w:szCs w:val="18"/>
        </w:rPr>
        <w:t>munka jellemző</w:t>
      </w:r>
      <w:proofErr w:type="gramEnd"/>
      <w:r w:rsidRPr="00057D65">
        <w:rPr>
          <w:rFonts w:ascii="Verdana" w:hAnsi="Verdana"/>
          <w:sz w:val="18"/>
          <w:szCs w:val="18"/>
        </w:rPr>
        <w:t xml:space="preserve">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t xml:space="preserve">5. 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VESZÉLYEZTETETTSÉG FOKA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lastRenderedPageBreak/>
        <w:t>életveszélyes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rossz, vagy romos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alkalomszerű használat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F06AB6">
        <w:rPr>
          <w:rFonts w:ascii="Verdana" w:hAnsi="Verdana"/>
          <w:sz w:val="18"/>
          <w:szCs w:val="18"/>
        </w:rPr>
        <w:t>a</w:t>
      </w:r>
      <w:proofErr w:type="gramEnd"/>
      <w:r w:rsidR="00F06AB6">
        <w:rPr>
          <w:rFonts w:ascii="Verdana" w:hAnsi="Verdana"/>
          <w:sz w:val="18"/>
          <w:szCs w:val="18"/>
        </w:rPr>
        <w:t xml:space="preserve"> p</w:t>
      </w:r>
      <w:bookmarkStart w:id="0" w:name="_GoBack"/>
      <w:bookmarkEnd w:id="0"/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06AB6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69EC11C2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165D2"/>
    <w:rsid w:val="00DF35B6"/>
    <w:rsid w:val="00E0043D"/>
    <w:rsid w:val="00E60D2D"/>
    <w:rsid w:val="00E60EF4"/>
    <w:rsid w:val="00EA3327"/>
    <w:rsid w:val="00ED4D69"/>
    <w:rsid w:val="00F06AB6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544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79BA-4869-44C7-88B8-36B14568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7</cp:revision>
  <dcterms:created xsi:type="dcterms:W3CDTF">2016-03-16T14:49:00Z</dcterms:created>
  <dcterms:modified xsi:type="dcterms:W3CDTF">2016-11-08T12:19:00Z</dcterms:modified>
</cp:coreProperties>
</file>